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9D6A84" w:rsidP="00247E7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  <w:r w:rsidR="00247E72" w:rsidRPr="007577D5">
        <w:rPr>
          <w:sz w:val="20"/>
          <w:lang w:val="uk-UA"/>
        </w:rPr>
        <w:t xml:space="preserve">                                                                                       </w:t>
      </w: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973907" w:rsidRDefault="00973907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50</w:t>
      </w:r>
      <w:r w:rsidR="003C53C2">
        <w:rPr>
          <w:sz w:val="20"/>
          <w:lang w:val="ru-RU"/>
        </w:rPr>
        <w:t xml:space="preserve"> </w:t>
      </w:r>
      <w:r w:rsidR="00D0086F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C33E7C" w:rsidRPr="007577D5" w:rsidRDefault="00973907" w:rsidP="002863A8">
      <w:pPr>
        <w:pStyle w:val="a3"/>
        <w:ind w:left="0"/>
        <w:jc w:val="center"/>
        <w:rPr>
          <w:sz w:val="20"/>
        </w:rPr>
      </w:pPr>
      <w:r>
        <w:rPr>
          <w:sz w:val="20"/>
          <w:lang w:val="ru-RU"/>
        </w:rPr>
        <w:t>1 засідання (26.10.2023 р.)</w:t>
      </w:r>
      <w:r w:rsidR="00995C11" w:rsidRPr="007577D5">
        <w:rPr>
          <w:sz w:val="20"/>
        </w:rPr>
        <w:t xml:space="preserve"> 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361731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C04472" w:rsidRDefault="00973907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50</w:t>
            </w:r>
            <w:r w:rsidR="003C53C2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D0086F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C04472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C04472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5033D6" w:rsidRPr="00973907" w:rsidRDefault="00973907" w:rsidP="00973907">
            <w:pPr>
              <w:pStyle w:val="a3"/>
              <w:ind w:left="0"/>
              <w:jc w:val="center"/>
              <w:rPr>
                <w:bCs w:val="0"/>
                <w:color w:val="FFFFFF"/>
                <w:szCs w:val="24"/>
              </w:rPr>
            </w:pPr>
            <w:r>
              <w:rPr>
                <w:sz w:val="20"/>
                <w:lang w:val="ru-RU"/>
              </w:rPr>
              <w:t>1 засідання (26.10.2023 р.)</w:t>
            </w:r>
            <w:r w:rsidRPr="007577D5">
              <w:rPr>
                <w:sz w:val="20"/>
              </w:rPr>
              <w:t xml:space="preserve"> 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Default="00973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97390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виконання бюджету Погребищенської міської територіальної громади за 9 місяців 2023 року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Default="00973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97390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бюджету Погребищенської міської територіальної громади на 2023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ік» (код бюджету 02563000000)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Default="00973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97390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та затвердження змін до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ішення 42 сесії Погребищенської міської ради 8 скликання №370 від 27.04.2023 року «Про визначення уповноважених осіб на складення побутової характеристики за місцем проживання та актів обстеження побутових умов для засвідчення встановлених фактів»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Default="00973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97390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включення до Переліку першого типу нерухомого комунального майна (вбудоване нежитлове приміщення кабінету №3, загальною площею – 21,3 м2 на першому поверсі триповерхової нежитлової буді</w:t>
            </w:r>
            <w:proofErr w:type="gramStart"/>
            <w:r>
              <w:rPr>
                <w:color w:val="000000"/>
              </w:rPr>
              <w:t>вл</w:t>
            </w:r>
            <w:proofErr w:type="gramEnd"/>
            <w:r>
              <w:rPr>
                <w:color w:val="000000"/>
              </w:rPr>
              <w:t>і терапевтичного відділення), яке знаходиться на балансі комунального підприємства «Погребищенська центральна лікарня» Погребищенської міської ради, затвердження його незалежної оцінки та погодження продовження договору оренди без проведення аукціону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Default="00973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97390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включення до Переліку другого типу нерухомого комунального майна (гуртожиток в с. Збаржівка), яке знаходиться на балансі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ради, погодження передачі в оренду релігійній громаді парафії «Покрови Пресвятої Богородиці с. Збаржівка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інницької област</w:t>
            </w:r>
            <w:proofErr w:type="gramStart"/>
            <w:r>
              <w:rPr>
                <w:color w:val="000000"/>
              </w:rPr>
              <w:t>і В</w:t>
            </w:r>
            <w:proofErr w:type="gramEnd"/>
            <w:r>
              <w:rPr>
                <w:color w:val="000000"/>
              </w:rPr>
              <w:t>інницького району Вінницько-Тульчинської єпархії ПЦУ» без проведення аукціону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Default="00973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97390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службового житла Маслійову Антону Володимировичу - лікарю-урологу комунального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ідприємства «Погребищенська центральна лікарня» Погребищенської міської ради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Default="00973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97390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службового житла Чухрію Артему Ігоровичу - лікарю-психіатру комунального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ідприємства «Погребищенська центральна лікарня» Погребищенської міської ради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Default="00973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97390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та затвердження </w:t>
            </w:r>
            <w:proofErr w:type="gramStart"/>
            <w:r>
              <w:rPr>
                <w:color w:val="000000"/>
              </w:rPr>
              <w:t>персонального</w:t>
            </w:r>
            <w:proofErr w:type="gramEnd"/>
            <w:r>
              <w:rPr>
                <w:color w:val="000000"/>
              </w:rPr>
              <w:t xml:space="preserve"> складу виконавчого комітету Погребищенської міської ради 8 скликання у новій редакції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Default="00973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97390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та затвердження змін до граничної чисельності працівників комунальної установи «Центр </w:t>
            </w:r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іальних служб Погребищенської міської ради»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Default="00973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97390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припинення юридичної особи Бабинецького дошкільного навчального закладу загального розвитку шляхом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іквідації</w:t>
            </w:r>
          </w:p>
        </w:tc>
      </w:tr>
    </w:tbl>
    <w:p w:rsidR="003D113C" w:rsidRPr="008A59DB" w:rsidRDefault="003D113C" w:rsidP="00D0086F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64" w:rsidRDefault="00381D64">
      <w:r>
        <w:separator/>
      </w:r>
    </w:p>
  </w:endnote>
  <w:endnote w:type="continuationSeparator" w:id="0">
    <w:p w:rsidR="00381D64" w:rsidRDefault="00381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64" w:rsidRDefault="00381D64">
      <w:r>
        <w:separator/>
      </w:r>
    </w:p>
  </w:footnote>
  <w:footnote w:type="continuationSeparator" w:id="0">
    <w:p w:rsidR="00381D64" w:rsidRDefault="00381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DD" w:rsidRDefault="006B5FDD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5FDD" w:rsidRDefault="006B5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DD" w:rsidRDefault="006B5FDD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3907">
      <w:rPr>
        <w:rStyle w:val="aa"/>
        <w:noProof/>
      </w:rPr>
      <w:t>1</w:t>
    </w:r>
    <w:r>
      <w:rPr>
        <w:rStyle w:val="aa"/>
      </w:rPr>
      <w:fldChar w:fldCharType="end"/>
    </w:r>
  </w:p>
  <w:p w:rsidR="006B5FDD" w:rsidRDefault="006B5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1D64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2CC8"/>
    <w:rsid w:val="00422DAC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7B3D"/>
    <w:rsid w:val="006D3466"/>
    <w:rsid w:val="006D35B3"/>
    <w:rsid w:val="006D3C67"/>
    <w:rsid w:val="006D4B7C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907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8A9"/>
    <w:rsid w:val="00A94B15"/>
    <w:rsid w:val="00A954C5"/>
    <w:rsid w:val="00A95671"/>
    <w:rsid w:val="00A96B42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275B"/>
    <w:rsid w:val="00B73BAA"/>
    <w:rsid w:val="00B73EB1"/>
    <w:rsid w:val="00B74070"/>
    <w:rsid w:val="00B75566"/>
    <w:rsid w:val="00B75AED"/>
    <w:rsid w:val="00B76286"/>
    <w:rsid w:val="00B81970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1FA6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BookTitle">
    <w:name w:val="Book Title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0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  <w:lang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ListParagraph">
    <w:name w:val="List Paragraph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1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2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0E20-FFE6-4E21-AFB7-578595FC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3</cp:revision>
  <cp:lastPrinted>2021-04-22T05:15:00Z</cp:lastPrinted>
  <dcterms:created xsi:type="dcterms:W3CDTF">2023-10-26T11:05:00Z</dcterms:created>
  <dcterms:modified xsi:type="dcterms:W3CDTF">2023-10-26T11:08:00Z</dcterms:modified>
</cp:coreProperties>
</file>